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D2AE5" w14:textId="375C93C5" w:rsidR="002F0108" w:rsidRDefault="002F0108">
      <w:pPr>
        <w:spacing w:after="0" w:line="259" w:lineRule="auto"/>
        <w:ind w:left="0" w:right="0" w:firstLine="0"/>
        <w:jc w:val="left"/>
      </w:pPr>
    </w:p>
    <w:p w14:paraId="28B36444" w14:textId="2166DC83" w:rsidR="002F0108" w:rsidRDefault="00450C19">
      <w:pPr>
        <w:pStyle w:val="Pealkiri1"/>
        <w:ind w:left="-5"/>
      </w:pPr>
      <w:r w:rsidRPr="00C63F45">
        <w:rPr>
          <w:iCs/>
        </w:rPr>
        <w:t>Väikehanke</w:t>
      </w:r>
      <w:r>
        <w:t xml:space="preserve"> "</w:t>
      </w:r>
      <w:r w:rsidR="00C63F45" w:rsidRPr="00C63F45">
        <w:t xml:space="preserve"> TTJA väikehange TEJ ja PEJ mõõtemetoodikaks</w:t>
      </w:r>
      <w:r>
        <w:t>" pakkumuse kutse</w:t>
      </w:r>
      <w:r>
        <w:rPr>
          <w:b w:val="0"/>
        </w:rPr>
        <w:t xml:space="preserve"> </w:t>
      </w:r>
    </w:p>
    <w:p w14:paraId="051A4CB7" w14:textId="77777777" w:rsidR="002F0108" w:rsidRDefault="00450C19">
      <w:pPr>
        <w:ind w:right="0"/>
      </w:pPr>
      <w:r>
        <w:t xml:space="preserve">Tarbijakaitse ja Tehnilise Järelevalve Amet (edaspidi nimetatud kui Hankija/TTJA) palub esitada pakkumus vastavalt kutses sisalduvatele tingimustele. </w:t>
      </w:r>
    </w:p>
    <w:p w14:paraId="5CFDAAF2" w14:textId="77777777" w:rsidR="002F0108" w:rsidRDefault="00450C19">
      <w:pPr>
        <w:spacing w:after="0" w:line="259" w:lineRule="auto"/>
        <w:ind w:left="0" w:right="0" w:firstLine="0"/>
        <w:jc w:val="left"/>
      </w:pPr>
      <w:r>
        <w:t xml:space="preserve"> </w:t>
      </w:r>
      <w:r>
        <w:tab/>
        <w:t xml:space="preserve"> </w:t>
      </w:r>
    </w:p>
    <w:p w14:paraId="0A93F509" w14:textId="5085E6BA" w:rsidR="002F0108" w:rsidRDefault="00450C19">
      <w:pPr>
        <w:ind w:right="0"/>
      </w:pPr>
      <w:r>
        <w:rPr>
          <w:b/>
        </w:rPr>
        <w:t>Eelarve:</w:t>
      </w:r>
      <w:r w:rsidR="00C63F45">
        <w:rPr>
          <w:b/>
        </w:rPr>
        <w:t xml:space="preserve"> </w:t>
      </w:r>
      <w:r w:rsidR="00730E7A">
        <w:rPr>
          <w:bCs/>
        </w:rPr>
        <w:t>2</w:t>
      </w:r>
      <w:r w:rsidR="00C22DC3">
        <w:rPr>
          <w:bCs/>
        </w:rPr>
        <w:t>85</w:t>
      </w:r>
      <w:r w:rsidR="00730E7A">
        <w:rPr>
          <w:bCs/>
        </w:rPr>
        <w:t>00</w:t>
      </w:r>
      <w:r>
        <w:t xml:space="preserve"> EUR (ilma käibemaksuta) </w:t>
      </w:r>
    </w:p>
    <w:p w14:paraId="3E657B0A" w14:textId="5C2A68D9" w:rsidR="002B270C" w:rsidRDefault="002B270C">
      <w:pPr>
        <w:ind w:right="0"/>
      </w:pPr>
      <w:r>
        <w:rPr>
          <w:b/>
        </w:rPr>
        <w:t>Tööde esitamise tähtaeg: mitte hiljem kui 15.03.2025</w:t>
      </w:r>
    </w:p>
    <w:p w14:paraId="692C1C0E" w14:textId="77777777" w:rsidR="002F0108" w:rsidRDefault="00450C19">
      <w:pPr>
        <w:spacing w:after="0" w:line="259" w:lineRule="auto"/>
        <w:ind w:left="0" w:right="0" w:firstLine="0"/>
        <w:jc w:val="left"/>
      </w:pPr>
      <w:r>
        <w:t xml:space="preserve"> </w:t>
      </w:r>
    </w:p>
    <w:p w14:paraId="5C3D315B" w14:textId="77777777" w:rsidR="002F0108" w:rsidRDefault="00450C19">
      <w:pPr>
        <w:pStyle w:val="Pealkiri1"/>
        <w:ind w:left="-5"/>
      </w:pPr>
      <w:r>
        <w:t>1.</w:t>
      </w:r>
      <w:r>
        <w:rPr>
          <w:rFonts w:ascii="Arial" w:eastAsia="Arial" w:hAnsi="Arial" w:cs="Arial"/>
        </w:rPr>
        <w:t xml:space="preserve"> </w:t>
      </w:r>
      <w:r>
        <w:t xml:space="preserve">Pakkumuse vormistamine ja esitamine </w:t>
      </w:r>
    </w:p>
    <w:p w14:paraId="329B5BF5" w14:textId="6A21D430" w:rsidR="002F0108" w:rsidRDefault="00450C19">
      <w:pPr>
        <w:ind w:left="355" w:right="0"/>
      </w:pPr>
      <w:r w:rsidRPr="00C22DC3">
        <w:t>1.1.</w:t>
      </w:r>
      <w:r w:rsidRPr="00C22DC3">
        <w:rPr>
          <w:rFonts w:ascii="Arial" w:eastAsia="Arial" w:hAnsi="Arial" w:cs="Arial"/>
        </w:rPr>
        <w:t xml:space="preserve"> </w:t>
      </w:r>
      <w:r w:rsidRPr="00C22DC3">
        <w:t>Pakkumuses peab olema esitatud</w:t>
      </w:r>
      <w:r w:rsidR="00C63F45" w:rsidRPr="00C22DC3">
        <w:t>teostatavate tööde kirjeldus</w:t>
      </w:r>
      <w:r w:rsidR="00B233BF" w:rsidRPr="00C22DC3">
        <w:t>,</w:t>
      </w:r>
      <w:r w:rsidR="006213E4" w:rsidRPr="00C22DC3">
        <w:t xml:space="preserve"> tegevuste vastavus lähteülesandele,</w:t>
      </w:r>
      <w:r w:rsidR="00B233BF" w:rsidRPr="00C22DC3">
        <w:t xml:space="preserve"> tööde</w:t>
      </w:r>
      <w:r w:rsidR="00376C65" w:rsidRPr="00C22DC3">
        <w:t xml:space="preserve"> </w:t>
      </w:r>
      <w:r w:rsidR="00733A93" w:rsidRPr="00C22DC3">
        <w:t>teostaja</w:t>
      </w:r>
      <w:r w:rsidR="00C22DC3" w:rsidRPr="00C22DC3">
        <w:t xml:space="preserve"> juhul, kui töid ei tee pakkumust esitav ettevõtja</w:t>
      </w:r>
      <w:r w:rsidR="00B233BF" w:rsidRPr="00C22DC3">
        <w:t>,</w:t>
      </w:r>
      <w:r w:rsidR="005C2B19" w:rsidRPr="00C22DC3">
        <w:t xml:space="preserve"> </w:t>
      </w:r>
      <w:r w:rsidR="00C22DC3" w:rsidRPr="00C22DC3">
        <w:t xml:space="preserve">kirjeldus oodatavast </w:t>
      </w:r>
      <w:r w:rsidR="005C2B19" w:rsidRPr="00C22DC3">
        <w:t>projekti tulemus</w:t>
      </w:r>
      <w:r w:rsidR="00C22DC3" w:rsidRPr="00C22DC3">
        <w:t>est</w:t>
      </w:r>
    </w:p>
    <w:p w14:paraId="0D238F10" w14:textId="77777777" w:rsidR="002F0108" w:rsidRDefault="00450C19">
      <w:pPr>
        <w:ind w:left="355" w:right="0"/>
      </w:pPr>
      <w:r>
        <w:t>1.2.</w:t>
      </w:r>
      <w:r>
        <w:rPr>
          <w:rFonts w:ascii="Arial" w:eastAsia="Arial" w:hAnsi="Arial" w:cs="Arial"/>
        </w:rPr>
        <w:t xml:space="preserve"> </w:t>
      </w:r>
      <w:r>
        <w:t xml:space="preserve">Pakkumuse maksumus tuleb esitada ilma käibemaksuta. </w:t>
      </w:r>
    </w:p>
    <w:p w14:paraId="2834101D" w14:textId="77777777" w:rsidR="002F0108" w:rsidRDefault="00450C19">
      <w:pPr>
        <w:ind w:left="777" w:right="0" w:hanging="432"/>
      </w:pPr>
      <w:r>
        <w:t>1.3.</w:t>
      </w:r>
      <w:r>
        <w:rPr>
          <w:rFonts w:ascii="Arial" w:eastAsia="Arial" w:hAnsi="Arial" w:cs="Arial"/>
        </w:rPr>
        <w:t xml:space="preserve"> </w:t>
      </w:r>
      <w:r>
        <w:t>Hankija aktsepteerib elektrooniliselt esitatavate pakkumuse dokumentide osas kõiki üldlevinud dokumendi formaate, nagu .</w:t>
      </w:r>
      <w:proofErr w:type="spellStart"/>
      <w:r>
        <w:t>pdf</w:t>
      </w:r>
      <w:proofErr w:type="spellEnd"/>
      <w:r>
        <w:t xml:space="preserve"> (</w:t>
      </w:r>
      <w:proofErr w:type="spellStart"/>
      <w:r>
        <w:t>Portable</w:t>
      </w:r>
      <w:proofErr w:type="spellEnd"/>
      <w:r>
        <w:t xml:space="preserve"> Document </w:t>
      </w:r>
      <w:proofErr w:type="spellStart"/>
      <w:r>
        <w:t>Format</w:t>
      </w:r>
      <w:proofErr w:type="spellEnd"/>
      <w:r>
        <w:t>), .</w:t>
      </w:r>
      <w:proofErr w:type="spellStart"/>
      <w:r>
        <w:t>rtf</w:t>
      </w:r>
      <w:proofErr w:type="spellEnd"/>
      <w:r>
        <w:t xml:space="preserve"> (</w:t>
      </w:r>
      <w:proofErr w:type="spellStart"/>
      <w:r>
        <w:t>RichTextFormat</w:t>
      </w:r>
      <w:proofErr w:type="spellEnd"/>
      <w:r>
        <w:t>), .</w:t>
      </w:r>
      <w:proofErr w:type="spellStart"/>
      <w:r>
        <w:t>odt</w:t>
      </w:r>
      <w:proofErr w:type="spellEnd"/>
      <w:r>
        <w:t xml:space="preserve"> (</w:t>
      </w:r>
      <w:proofErr w:type="spellStart"/>
      <w:r>
        <w:t>Open</w:t>
      </w:r>
      <w:proofErr w:type="spellEnd"/>
      <w:r>
        <w:t xml:space="preserve"> Office) ning ka MS Office formaate. </w:t>
      </w:r>
    </w:p>
    <w:p w14:paraId="705ADDF5" w14:textId="77777777" w:rsidR="002F0108" w:rsidRDefault="00450C19">
      <w:pPr>
        <w:ind w:left="777" w:right="0" w:hanging="432"/>
      </w:pPr>
      <w:r>
        <w:t>1.4.</w:t>
      </w:r>
      <w:r>
        <w:rPr>
          <w:rFonts w:ascii="Arial" w:eastAsia="Arial" w:hAnsi="Arial" w:cs="Arial"/>
        </w:rPr>
        <w:t xml:space="preserve"> </w:t>
      </w:r>
      <w:r>
        <w:t xml:space="preserve">Eelkirjeldatud nõuetele mittevastavaid, sh hilinenult esitatud pakkumusi arvesse ei võeta. </w:t>
      </w:r>
    </w:p>
    <w:p w14:paraId="6901ED66" w14:textId="77777777" w:rsidR="002F0108" w:rsidRDefault="00450C19">
      <w:pPr>
        <w:ind w:left="355" w:right="0"/>
      </w:pPr>
      <w:r>
        <w:t>1.5.</w:t>
      </w:r>
      <w:r>
        <w:rPr>
          <w:rFonts w:ascii="Arial" w:eastAsia="Arial" w:hAnsi="Arial" w:cs="Arial"/>
        </w:rPr>
        <w:t xml:space="preserve"> </w:t>
      </w:r>
      <w:r>
        <w:t xml:space="preserve">Pakkuja kannab kõik pakkumuse ettevalmistamisega ning esitamisega seotud kulud. </w:t>
      </w:r>
    </w:p>
    <w:p w14:paraId="09FD4364" w14:textId="77777777" w:rsidR="002F0108" w:rsidRDefault="00450C19">
      <w:pPr>
        <w:ind w:left="355" w:right="0"/>
      </w:pPr>
      <w:r>
        <w:t>1.6.</w:t>
      </w:r>
      <w:r>
        <w:rPr>
          <w:rFonts w:ascii="Arial" w:eastAsia="Arial" w:hAnsi="Arial" w:cs="Arial"/>
        </w:rPr>
        <w:t xml:space="preserve"> </w:t>
      </w:r>
      <w:r>
        <w:t xml:space="preserve">Hankija koostab pakkumuste hindamise kohta protokolli.  </w:t>
      </w:r>
    </w:p>
    <w:p w14:paraId="540F04EE" w14:textId="77777777" w:rsidR="002F0108" w:rsidRDefault="00450C19">
      <w:pPr>
        <w:ind w:left="355" w:right="0"/>
      </w:pPr>
      <w:r>
        <w:t>1.7.</w:t>
      </w:r>
      <w:r>
        <w:rPr>
          <w:rFonts w:ascii="Arial" w:eastAsia="Arial" w:hAnsi="Arial" w:cs="Arial"/>
        </w:rPr>
        <w:t xml:space="preserve"> </w:t>
      </w:r>
      <w:r>
        <w:t xml:space="preserve">Hankija ei rakenda hankelepingu sõlmimisel ooteaega. </w:t>
      </w:r>
    </w:p>
    <w:p w14:paraId="5F3D01BD" w14:textId="77777777" w:rsidR="002F0108" w:rsidRDefault="00450C19">
      <w:pPr>
        <w:spacing w:after="14" w:line="259" w:lineRule="auto"/>
        <w:ind w:left="792" w:right="0" w:firstLine="0"/>
        <w:jc w:val="left"/>
      </w:pPr>
      <w:r>
        <w:t xml:space="preserve"> </w:t>
      </w:r>
    </w:p>
    <w:p w14:paraId="4278A35A" w14:textId="4A6AEE74" w:rsidR="002F0108" w:rsidRDefault="00450C19">
      <w:pPr>
        <w:spacing w:after="0" w:line="259" w:lineRule="auto"/>
        <w:ind w:left="0" w:right="0" w:firstLine="0"/>
        <w:jc w:val="left"/>
      </w:pPr>
      <w:r>
        <w:rPr>
          <w:b/>
          <w:i/>
        </w:rPr>
        <w:t>2.</w:t>
      </w:r>
      <w:r>
        <w:rPr>
          <w:rFonts w:ascii="Arial" w:eastAsia="Arial" w:hAnsi="Arial" w:cs="Arial"/>
          <w:b/>
          <w:i/>
        </w:rPr>
        <w:t xml:space="preserve"> </w:t>
      </w:r>
      <w:r w:rsidRPr="00C63F45">
        <w:rPr>
          <w:b/>
          <w:iCs/>
        </w:rPr>
        <w:t>Tehniline kirjeldus</w:t>
      </w:r>
      <w:r>
        <w:rPr>
          <w:b/>
          <w:i/>
        </w:rPr>
        <w:t xml:space="preserve"> </w:t>
      </w:r>
    </w:p>
    <w:p w14:paraId="291F788E" w14:textId="4613BF5F" w:rsidR="002F0108" w:rsidRPr="00C63F45" w:rsidRDefault="00006C03">
      <w:pPr>
        <w:spacing w:after="4" w:line="259" w:lineRule="auto"/>
        <w:ind w:left="355" w:right="0"/>
        <w:jc w:val="left"/>
        <w:rPr>
          <w:iCs/>
        </w:rPr>
      </w:pPr>
      <w:r>
        <w:rPr>
          <w:iCs/>
        </w:rPr>
        <w:t xml:space="preserve">2.1. </w:t>
      </w:r>
      <w:r w:rsidR="00C63F45">
        <w:rPr>
          <w:iCs/>
        </w:rPr>
        <w:t>Tehniliseks kirjelduseks on pakkumuse kutsega edastatud lähteülesanne</w:t>
      </w:r>
      <w:r w:rsidR="00B701D0">
        <w:rPr>
          <w:iCs/>
        </w:rPr>
        <w:t xml:space="preserve"> (Lisa 1)</w:t>
      </w:r>
      <w:r w:rsidR="00C63F45">
        <w:rPr>
          <w:iCs/>
        </w:rPr>
        <w:t>.</w:t>
      </w:r>
    </w:p>
    <w:p w14:paraId="3760B6A7" w14:textId="77777777" w:rsidR="002F0108" w:rsidRDefault="00450C19">
      <w:pPr>
        <w:spacing w:after="0" w:line="259" w:lineRule="auto"/>
        <w:ind w:left="0" w:right="0" w:firstLine="0"/>
        <w:jc w:val="left"/>
      </w:pPr>
      <w:r>
        <w:t xml:space="preserve"> </w:t>
      </w:r>
    </w:p>
    <w:p w14:paraId="144C010F" w14:textId="77777777" w:rsidR="002F0108" w:rsidRDefault="00450C19">
      <w:pPr>
        <w:pStyle w:val="Pealkiri1"/>
        <w:ind w:left="-5"/>
      </w:pPr>
      <w:r>
        <w:t>3.</w:t>
      </w:r>
      <w:r>
        <w:rPr>
          <w:rFonts w:ascii="Arial" w:eastAsia="Arial" w:hAnsi="Arial" w:cs="Arial"/>
        </w:rPr>
        <w:t xml:space="preserve"> </w:t>
      </w:r>
      <w:r>
        <w:t xml:space="preserve">Hankelepingu tingimused </w:t>
      </w:r>
    </w:p>
    <w:p w14:paraId="72BD6B39" w14:textId="542BC5D0" w:rsidR="002F0108" w:rsidRDefault="00450C19" w:rsidP="0062444E">
      <w:pPr>
        <w:ind w:left="355" w:right="0"/>
      </w:pPr>
      <w:r>
        <w:t>3.1.</w:t>
      </w:r>
      <w:r w:rsidR="0062444E">
        <w:rPr>
          <w:rFonts w:ascii="Arial" w:eastAsia="Arial" w:hAnsi="Arial" w:cs="Arial"/>
        </w:rPr>
        <w:t xml:space="preserve"> </w:t>
      </w:r>
      <w:r>
        <w:t>Täpsemad lepingu tingimused sisalduvad hankelepingu projektis</w:t>
      </w:r>
      <w:r w:rsidR="00B701D0">
        <w:t xml:space="preserve"> (Lisa 2)</w:t>
      </w:r>
      <w:r w:rsidR="004830F8">
        <w:t>.</w:t>
      </w:r>
    </w:p>
    <w:p w14:paraId="67C76B08" w14:textId="77777777" w:rsidR="002F0108" w:rsidRDefault="00450C19">
      <w:pPr>
        <w:spacing w:after="15" w:line="259" w:lineRule="auto"/>
        <w:ind w:left="792" w:right="0" w:firstLine="0"/>
        <w:jc w:val="left"/>
      </w:pPr>
      <w:r>
        <w:t xml:space="preserve"> </w:t>
      </w:r>
    </w:p>
    <w:p w14:paraId="075DD750" w14:textId="77777777" w:rsidR="00DD6807" w:rsidRDefault="00DD6807" w:rsidP="00DD6807">
      <w:pPr>
        <w:pStyle w:val="Pealkiri1"/>
        <w:ind w:left="-5"/>
      </w:pPr>
      <w:r>
        <w:t>4.</w:t>
      </w:r>
      <w:r>
        <w:rPr>
          <w:rFonts w:ascii="Arial" w:eastAsia="Arial" w:hAnsi="Arial" w:cs="Arial"/>
        </w:rPr>
        <w:t xml:space="preserve"> </w:t>
      </w:r>
      <w:r>
        <w:t xml:space="preserve">Pakkumuste hindamine ja pakkumuse edukaks tunnistamine </w:t>
      </w:r>
    </w:p>
    <w:p w14:paraId="3619D25C" w14:textId="77950771" w:rsidR="00DD6807" w:rsidRDefault="00DD6807" w:rsidP="00DD6807">
      <w:pPr>
        <w:ind w:left="777" w:right="0" w:hanging="432"/>
      </w:pPr>
      <w:r>
        <w:t>4.1.</w:t>
      </w:r>
      <w:r>
        <w:rPr>
          <w:rFonts w:ascii="Arial" w:eastAsia="Arial" w:hAnsi="Arial" w:cs="Arial"/>
        </w:rPr>
        <w:t xml:space="preserve"> </w:t>
      </w:r>
      <w:r>
        <w:t>Pakkumuste hindamise kriteeriumideks on pakkumuse maksumus (</w:t>
      </w:r>
      <w:r w:rsidR="004242DF">
        <w:rPr>
          <w:iCs/>
        </w:rPr>
        <w:t>60</w:t>
      </w:r>
      <w:r w:rsidRPr="00B701D0">
        <w:rPr>
          <w:iCs/>
        </w:rPr>
        <w:t>%</w:t>
      </w:r>
      <w:r>
        <w:t>) ja vastavus tehnilisele kirjeldusele</w:t>
      </w:r>
      <w:r w:rsidR="00BC5934">
        <w:t xml:space="preserve"> </w:t>
      </w:r>
      <w:r>
        <w:t>(</w:t>
      </w:r>
      <w:r w:rsidR="004242DF">
        <w:rPr>
          <w:iCs/>
        </w:rPr>
        <w:t>40</w:t>
      </w:r>
      <w:r w:rsidRPr="00B701D0">
        <w:rPr>
          <w:iCs/>
        </w:rPr>
        <w:t>%</w:t>
      </w:r>
      <w:r>
        <w:t xml:space="preserve">). </w:t>
      </w:r>
    </w:p>
    <w:p w14:paraId="17A7D30A" w14:textId="060270E8" w:rsidR="00DD6807" w:rsidRDefault="00DD6807" w:rsidP="00DD6807">
      <w:pPr>
        <w:ind w:left="777" w:right="0" w:hanging="432"/>
      </w:pPr>
      <w:r>
        <w:t>4.2.</w:t>
      </w:r>
      <w:r>
        <w:rPr>
          <w:rFonts w:ascii="Arial" w:eastAsia="Arial" w:hAnsi="Arial" w:cs="Arial"/>
        </w:rPr>
        <w:t xml:space="preserve"> </w:t>
      </w:r>
      <w:r>
        <w:t xml:space="preserve">Madalaima maksumusega pakkumusele omistatakse maksimaalsed </w:t>
      </w:r>
      <w:r w:rsidR="004242DF">
        <w:rPr>
          <w:iCs/>
        </w:rPr>
        <w:t>60</w:t>
      </w:r>
      <w:r>
        <w:t xml:space="preserve"> väärtuspunkti. Teistele pakkumustele omistatakse väärtuspunktid vastavalt valemile:  </w:t>
      </w:r>
    </w:p>
    <w:p w14:paraId="1C57E247" w14:textId="1D32FD90" w:rsidR="00DD6807" w:rsidRDefault="00DD6807" w:rsidP="00DD6807">
      <w:pPr>
        <w:spacing w:after="4" w:line="259" w:lineRule="auto"/>
        <w:ind w:left="802" w:right="0"/>
        <w:jc w:val="left"/>
      </w:pPr>
      <w:r>
        <w:rPr>
          <w:i/>
        </w:rPr>
        <w:t>"</w:t>
      </w:r>
      <w:r w:rsidR="004242DF">
        <w:rPr>
          <w:i/>
        </w:rPr>
        <w:t>60</w:t>
      </w:r>
      <w:r>
        <w:rPr>
          <w:i/>
        </w:rPr>
        <w:t>" - ("pakkumuse väärtus" - madalaim väärtus") / "suurim väärtus" * "</w:t>
      </w:r>
      <w:r w:rsidR="004242DF">
        <w:rPr>
          <w:i/>
        </w:rPr>
        <w:t>60</w:t>
      </w:r>
      <w:r>
        <w:rPr>
          <w:i/>
        </w:rPr>
        <w:t xml:space="preserve">" </w:t>
      </w:r>
    </w:p>
    <w:p w14:paraId="729087BF" w14:textId="64282DF7" w:rsidR="00DD6807" w:rsidRDefault="00DD6807" w:rsidP="00DD6807">
      <w:pPr>
        <w:ind w:left="777" w:right="0" w:hanging="432"/>
      </w:pPr>
      <w:r>
        <w:t>4.3.</w:t>
      </w:r>
      <w:r>
        <w:rPr>
          <w:rFonts w:ascii="Arial" w:eastAsia="Arial" w:hAnsi="Arial" w:cs="Arial"/>
        </w:rPr>
        <w:t xml:space="preserve"> </w:t>
      </w:r>
      <w:r w:rsidR="00EA1B6D">
        <w:rPr>
          <w:iCs/>
        </w:rPr>
        <w:t xml:space="preserve">Tehnilisele kirjeldusele vastavust </w:t>
      </w:r>
      <w:r>
        <w:t xml:space="preserve">hindavad hankija hankekomisjoni liikmed </w:t>
      </w:r>
      <w:r w:rsidR="00D40D05">
        <w:t>ühiselt</w:t>
      </w:r>
      <w:r w:rsidR="004242DF">
        <w:t>, omistades pakkumusele maksimaalselt 40 punkti</w:t>
      </w:r>
      <w:r>
        <w:t xml:space="preserve">. Hindamiskomisjon omistab pakkuja poolt pakkumuses esitatud </w:t>
      </w:r>
      <w:r w:rsidR="00EA1B6D">
        <w:t xml:space="preserve">vastavuses tehnilisele kirjeldusele </w:t>
      </w:r>
      <w:r>
        <w:t xml:space="preserve">punkte alljärgnevalt: </w:t>
      </w:r>
    </w:p>
    <w:tbl>
      <w:tblPr>
        <w:tblStyle w:val="TableGrid"/>
        <w:tblW w:w="8601" w:type="dxa"/>
        <w:tblInd w:w="468" w:type="dxa"/>
        <w:tblCellMar>
          <w:top w:w="54" w:type="dxa"/>
          <w:left w:w="108" w:type="dxa"/>
          <w:right w:w="64" w:type="dxa"/>
        </w:tblCellMar>
        <w:tblLook w:val="04A0" w:firstRow="1" w:lastRow="0" w:firstColumn="1" w:lastColumn="0" w:noHBand="0" w:noVBand="1"/>
      </w:tblPr>
      <w:tblGrid>
        <w:gridCol w:w="1981"/>
        <w:gridCol w:w="6620"/>
      </w:tblGrid>
      <w:tr w:rsidR="00DD6807" w14:paraId="60D01684" w14:textId="77777777" w:rsidTr="00D324F4">
        <w:trPr>
          <w:trHeight w:val="562"/>
        </w:trPr>
        <w:tc>
          <w:tcPr>
            <w:tcW w:w="1981" w:type="dxa"/>
            <w:tcBorders>
              <w:top w:val="single" w:sz="4" w:space="0" w:color="000000"/>
              <w:left w:val="single" w:sz="4" w:space="0" w:color="000000"/>
              <w:bottom w:val="single" w:sz="4" w:space="0" w:color="000000"/>
              <w:right w:val="single" w:sz="4" w:space="0" w:color="000000"/>
            </w:tcBorders>
          </w:tcPr>
          <w:p w14:paraId="2DB48EF1" w14:textId="77777777" w:rsidR="00DD6807" w:rsidRDefault="00DD6807" w:rsidP="00D324F4">
            <w:pPr>
              <w:spacing w:after="0" w:line="259" w:lineRule="auto"/>
              <w:ind w:left="0" w:right="0" w:firstLine="0"/>
              <w:jc w:val="left"/>
            </w:pPr>
            <w:r>
              <w:rPr>
                <w:b/>
              </w:rPr>
              <w:t xml:space="preserve">Väärtuspunktide arv </w:t>
            </w:r>
            <w:r>
              <w:t xml:space="preserve"> </w:t>
            </w:r>
          </w:p>
        </w:tc>
        <w:tc>
          <w:tcPr>
            <w:tcW w:w="6620" w:type="dxa"/>
            <w:tcBorders>
              <w:top w:val="single" w:sz="4" w:space="0" w:color="000000"/>
              <w:left w:val="single" w:sz="4" w:space="0" w:color="000000"/>
              <w:bottom w:val="single" w:sz="4" w:space="0" w:color="000000"/>
              <w:right w:val="single" w:sz="4" w:space="0" w:color="000000"/>
            </w:tcBorders>
          </w:tcPr>
          <w:p w14:paraId="02DC8467" w14:textId="77777777" w:rsidR="00DD6807" w:rsidRDefault="00DD6807" w:rsidP="00D324F4">
            <w:pPr>
              <w:spacing w:after="0" w:line="259" w:lineRule="auto"/>
              <w:ind w:left="0" w:right="0" w:firstLine="0"/>
              <w:jc w:val="left"/>
            </w:pPr>
            <w:r>
              <w:rPr>
                <w:b/>
              </w:rPr>
              <w:t xml:space="preserve">Põhjendus punktide andmiseks </w:t>
            </w:r>
            <w:r>
              <w:t xml:space="preserve"> </w:t>
            </w:r>
          </w:p>
        </w:tc>
      </w:tr>
      <w:tr w:rsidR="00DD6807" w14:paraId="59D47D5B" w14:textId="77777777" w:rsidTr="00D324F4">
        <w:trPr>
          <w:trHeight w:val="286"/>
        </w:trPr>
        <w:tc>
          <w:tcPr>
            <w:tcW w:w="1981" w:type="dxa"/>
            <w:tcBorders>
              <w:top w:val="single" w:sz="4" w:space="0" w:color="000000"/>
              <w:left w:val="single" w:sz="4" w:space="0" w:color="000000"/>
              <w:bottom w:val="single" w:sz="4" w:space="0" w:color="000000"/>
              <w:right w:val="single" w:sz="4" w:space="0" w:color="000000"/>
            </w:tcBorders>
          </w:tcPr>
          <w:p w14:paraId="29FCC184" w14:textId="74783C43" w:rsidR="00DD6807" w:rsidRDefault="004242DF" w:rsidP="00D324F4">
            <w:pPr>
              <w:spacing w:after="0" w:line="259" w:lineRule="auto"/>
              <w:ind w:left="0" w:right="0" w:firstLine="0"/>
              <w:jc w:val="left"/>
            </w:pPr>
            <w:r>
              <w:t>0</w:t>
            </w:r>
          </w:p>
        </w:tc>
        <w:tc>
          <w:tcPr>
            <w:tcW w:w="6620" w:type="dxa"/>
            <w:tcBorders>
              <w:top w:val="single" w:sz="4" w:space="0" w:color="000000"/>
              <w:left w:val="single" w:sz="4" w:space="0" w:color="000000"/>
              <w:bottom w:val="single" w:sz="4" w:space="0" w:color="000000"/>
              <w:right w:val="single" w:sz="4" w:space="0" w:color="000000"/>
            </w:tcBorders>
          </w:tcPr>
          <w:p w14:paraId="60989D39" w14:textId="56569F59" w:rsidR="00DD6807" w:rsidRDefault="008305DD" w:rsidP="00D324F4">
            <w:pPr>
              <w:spacing w:after="0" w:line="259" w:lineRule="auto"/>
              <w:ind w:left="0" w:right="0" w:firstLine="0"/>
              <w:jc w:val="left"/>
            </w:pPr>
            <w:r>
              <w:t xml:space="preserve">Pakkumuses kirjeldatud teostatavad tööd </w:t>
            </w:r>
            <w:r w:rsidR="00006145">
              <w:t>ei vasta üldse lähteülesandes välja toodud ülesannetele</w:t>
            </w:r>
            <w:r w:rsidR="006213E4">
              <w:t xml:space="preserve">, või vastavad selliselt, et </w:t>
            </w:r>
            <w:r w:rsidR="00376C65">
              <w:t xml:space="preserve">komisjoni hinnangul ei ole </w:t>
            </w:r>
            <w:r w:rsidR="006213E4">
              <w:t xml:space="preserve">nende põhjal võimalik luua </w:t>
            </w:r>
            <w:r w:rsidR="00376C65">
              <w:t xml:space="preserve">lähteülesandele vastavat </w:t>
            </w:r>
            <w:r w:rsidR="006213E4">
              <w:t>mõõtemetoodikat</w:t>
            </w:r>
            <w:r>
              <w:t>.</w:t>
            </w:r>
          </w:p>
        </w:tc>
      </w:tr>
      <w:tr w:rsidR="004242DF" w14:paraId="63EFA5DE" w14:textId="77777777" w:rsidTr="00D324F4">
        <w:trPr>
          <w:trHeight w:val="286"/>
        </w:trPr>
        <w:tc>
          <w:tcPr>
            <w:tcW w:w="1981" w:type="dxa"/>
            <w:tcBorders>
              <w:top w:val="single" w:sz="4" w:space="0" w:color="000000"/>
              <w:left w:val="single" w:sz="4" w:space="0" w:color="000000"/>
              <w:bottom w:val="single" w:sz="4" w:space="0" w:color="000000"/>
              <w:right w:val="single" w:sz="4" w:space="0" w:color="000000"/>
            </w:tcBorders>
          </w:tcPr>
          <w:p w14:paraId="500721AA" w14:textId="043CB080" w:rsidR="004242DF" w:rsidRDefault="00D40D05" w:rsidP="00D324F4">
            <w:pPr>
              <w:spacing w:after="0" w:line="259" w:lineRule="auto"/>
              <w:ind w:left="0" w:right="0" w:firstLine="0"/>
              <w:jc w:val="left"/>
            </w:pPr>
            <w:r>
              <w:t>20</w:t>
            </w:r>
          </w:p>
        </w:tc>
        <w:tc>
          <w:tcPr>
            <w:tcW w:w="6620" w:type="dxa"/>
            <w:tcBorders>
              <w:top w:val="single" w:sz="4" w:space="0" w:color="000000"/>
              <w:left w:val="single" w:sz="4" w:space="0" w:color="000000"/>
              <w:bottom w:val="single" w:sz="4" w:space="0" w:color="000000"/>
              <w:right w:val="single" w:sz="4" w:space="0" w:color="000000"/>
            </w:tcBorders>
          </w:tcPr>
          <w:p w14:paraId="3CA36893" w14:textId="4CD62726" w:rsidR="004242DF" w:rsidRDefault="004242DF" w:rsidP="00D324F4">
            <w:pPr>
              <w:spacing w:after="0" w:line="259" w:lineRule="auto"/>
              <w:ind w:left="0" w:right="0" w:firstLine="0"/>
              <w:jc w:val="left"/>
            </w:pPr>
            <w:r>
              <w:t>Pakkumus</w:t>
            </w:r>
            <w:r w:rsidR="00D40D05">
              <w:t xml:space="preserve">es kirjeldatud teostatavad tööd </w:t>
            </w:r>
            <w:r w:rsidR="00006145">
              <w:t>vastavad lähteülesandes välja toodud ülesannetele</w:t>
            </w:r>
            <w:r w:rsidR="00376C65">
              <w:t xml:space="preserve">, kuid esinevad </w:t>
            </w:r>
            <w:r w:rsidR="006213E4">
              <w:t>väiksema</w:t>
            </w:r>
            <w:r w:rsidR="00376C65">
              <w:t>d</w:t>
            </w:r>
            <w:r w:rsidR="006213E4">
              <w:t xml:space="preserve"> puudus</w:t>
            </w:r>
            <w:r w:rsidR="00376C65">
              <w:t xml:space="preserve">ed mis on komisjoni hinnangul </w:t>
            </w:r>
            <w:r w:rsidR="00006145">
              <w:t>aktsepteeritav</w:t>
            </w:r>
            <w:r w:rsidR="00376C65">
              <w:t xml:space="preserve">ad, samas ei esine </w:t>
            </w:r>
            <w:r w:rsidR="00376C65">
              <w:lastRenderedPageBreak/>
              <w:t>märgatavaid hankija ootusi ületavaid asjaolusid (sh võrreldes teiste pakkujate pakkumustega</w:t>
            </w:r>
            <w:r w:rsidR="00006145">
              <w:t xml:space="preserve">. </w:t>
            </w:r>
          </w:p>
        </w:tc>
      </w:tr>
      <w:tr w:rsidR="004242DF" w14:paraId="5ACE78B7" w14:textId="77777777" w:rsidTr="00D324F4">
        <w:trPr>
          <w:trHeight w:val="286"/>
        </w:trPr>
        <w:tc>
          <w:tcPr>
            <w:tcW w:w="1981" w:type="dxa"/>
            <w:tcBorders>
              <w:top w:val="single" w:sz="4" w:space="0" w:color="000000"/>
              <w:left w:val="single" w:sz="4" w:space="0" w:color="000000"/>
              <w:bottom w:val="single" w:sz="4" w:space="0" w:color="000000"/>
              <w:right w:val="single" w:sz="4" w:space="0" w:color="000000"/>
            </w:tcBorders>
          </w:tcPr>
          <w:p w14:paraId="767BC226" w14:textId="05A13233" w:rsidR="004242DF" w:rsidRDefault="004242DF" w:rsidP="00D324F4">
            <w:pPr>
              <w:spacing w:after="0" w:line="259" w:lineRule="auto"/>
              <w:ind w:left="0" w:right="0" w:firstLine="0"/>
              <w:jc w:val="left"/>
            </w:pPr>
            <w:r>
              <w:lastRenderedPageBreak/>
              <w:t>40</w:t>
            </w:r>
          </w:p>
        </w:tc>
        <w:tc>
          <w:tcPr>
            <w:tcW w:w="6620" w:type="dxa"/>
            <w:tcBorders>
              <w:top w:val="single" w:sz="4" w:space="0" w:color="000000"/>
              <w:left w:val="single" w:sz="4" w:space="0" w:color="000000"/>
              <w:bottom w:val="single" w:sz="4" w:space="0" w:color="000000"/>
              <w:right w:val="single" w:sz="4" w:space="0" w:color="000000"/>
            </w:tcBorders>
          </w:tcPr>
          <w:p w14:paraId="04D42CFC" w14:textId="3A3CB3F3" w:rsidR="004242DF" w:rsidRDefault="004242DF" w:rsidP="00D324F4">
            <w:pPr>
              <w:spacing w:after="0" w:line="259" w:lineRule="auto"/>
              <w:ind w:left="0" w:right="0" w:firstLine="0"/>
              <w:jc w:val="left"/>
            </w:pPr>
            <w:r>
              <w:t>Pakkumus</w:t>
            </w:r>
            <w:r w:rsidR="00006145">
              <w:t>es kirjeldatud teostatavad tööd vastavad</w:t>
            </w:r>
            <w:r w:rsidR="00376C65">
              <w:t xml:space="preserve"> täielikult</w:t>
            </w:r>
            <w:r w:rsidR="00006145">
              <w:t xml:space="preserve"> lähteülesandes välja toodud ülesannetele</w:t>
            </w:r>
            <w:r w:rsidR="006213E4">
              <w:t>,</w:t>
            </w:r>
            <w:r w:rsidR="00006145">
              <w:t xml:space="preserve"> ületades lisaks hankija ootuseid</w:t>
            </w:r>
            <w:r w:rsidR="00755EB1">
              <w:t xml:space="preserve"> (sh võrreldes teiste pakkujate pakkumustega), andes hankijale ilmse kvalitatiivse lisaväärtuse</w:t>
            </w:r>
            <w:r w:rsidR="00006145">
              <w:t xml:space="preserve">. </w:t>
            </w:r>
          </w:p>
        </w:tc>
      </w:tr>
    </w:tbl>
    <w:p w14:paraId="7CE694D9" w14:textId="77777777" w:rsidR="00DD6807" w:rsidRDefault="00DD6807" w:rsidP="00DD6807">
      <w:pPr>
        <w:spacing w:after="6" w:line="259" w:lineRule="auto"/>
        <w:ind w:left="792" w:right="0" w:firstLine="0"/>
        <w:jc w:val="left"/>
      </w:pPr>
      <w:r>
        <w:t xml:space="preserve"> </w:t>
      </w:r>
    </w:p>
    <w:p w14:paraId="34E954E0" w14:textId="77777777" w:rsidR="00DD6807" w:rsidRDefault="00DD6807" w:rsidP="00DD6807">
      <w:pPr>
        <w:ind w:left="777" w:right="0" w:hanging="432"/>
      </w:pPr>
      <w:r>
        <w:t>4.4.</w:t>
      </w:r>
      <w:r>
        <w:rPr>
          <w:rFonts w:ascii="Arial" w:eastAsia="Arial" w:hAnsi="Arial" w:cs="Arial"/>
        </w:rPr>
        <w:t xml:space="preserve"> </w:t>
      </w:r>
      <w:r>
        <w:t xml:space="preserve">Punktides 4.2-4.3 saavutatud punktisummad summeeritakse ja hankija tunnistab edukaks eeltoodud kriteeriumide alusel enim väärtuspunkte kokku kogunud pakkumuse. Hindamistäpsus on kaks kohta pärast koma.  </w:t>
      </w:r>
    </w:p>
    <w:p w14:paraId="475CCA8D" w14:textId="0FADE46B" w:rsidR="00DD6807" w:rsidRDefault="00DD6807" w:rsidP="00B701D0">
      <w:pPr>
        <w:ind w:left="777" w:right="0" w:hanging="432"/>
      </w:pPr>
      <w:r>
        <w:t>4.5.</w:t>
      </w:r>
      <w:r>
        <w:rPr>
          <w:rFonts w:ascii="Arial" w:eastAsia="Arial" w:hAnsi="Arial" w:cs="Arial"/>
        </w:rPr>
        <w:t xml:space="preserve"> </w:t>
      </w:r>
      <w:r>
        <w:t xml:space="preserve">Juhul, kui kaks või enam pakkumust on võrdsete punktisummadega, selgitatakse edukas pakkumus välja liisuheitmise teel. Liisuheitmise korra määrab hankija. Võrdväärse pakkumuse esitanud pakkujatel on õigus viibida liisuheitmise juures. Liisuheitmise korrast, ajast ja kohast teavitab hankija pakkujaid e-maili teel pakkuja poolt esitatud kontaktandmetel. </w:t>
      </w:r>
    </w:p>
    <w:p w14:paraId="42110DD9" w14:textId="77777777" w:rsidR="00B701D0" w:rsidRDefault="00B701D0" w:rsidP="00B701D0">
      <w:pPr>
        <w:ind w:left="777" w:right="0" w:hanging="432"/>
      </w:pPr>
    </w:p>
    <w:p w14:paraId="1A87A6B7" w14:textId="77777777" w:rsidR="002F0108" w:rsidRDefault="00450C19" w:rsidP="00006C03">
      <w:pPr>
        <w:spacing w:after="0" w:line="259" w:lineRule="auto"/>
        <w:ind w:left="0" w:right="0" w:firstLine="0"/>
        <w:jc w:val="left"/>
      </w:pPr>
      <w:r>
        <w:rPr>
          <w:b/>
        </w:rPr>
        <w:t xml:space="preserve">Pakkumuse esitamisega kinnitab pakkuja, et ta:  </w:t>
      </w:r>
    </w:p>
    <w:p w14:paraId="61136843" w14:textId="77777777" w:rsidR="002F0108" w:rsidRDefault="00450C19">
      <w:pPr>
        <w:numPr>
          <w:ilvl w:val="0"/>
          <w:numId w:val="1"/>
        </w:numPr>
        <w:ind w:right="0" w:hanging="360"/>
      </w:pPr>
      <w:r>
        <w:t xml:space="preserve">nõustub kõikide pakkumuse kutses esitatud tingimustega, sh hankelepingu projektis sätestatud lepingu tingimustega; </w:t>
      </w:r>
    </w:p>
    <w:p w14:paraId="4093AB81" w14:textId="32E813DD" w:rsidR="002F0108" w:rsidRDefault="00450C19">
      <w:pPr>
        <w:numPr>
          <w:ilvl w:val="0"/>
          <w:numId w:val="1"/>
        </w:numPr>
        <w:spacing w:after="94"/>
        <w:ind w:right="0" w:hanging="360"/>
      </w:pPr>
      <w:r>
        <w:t>pakkumus on jõus vähemalt</w:t>
      </w:r>
      <w:r w:rsidR="00006C03">
        <w:t xml:space="preserve"> </w:t>
      </w:r>
      <w:r w:rsidR="005C2B19">
        <w:t>30</w:t>
      </w:r>
      <w:r>
        <w:t xml:space="preserve">äeva pakkumuste esitamise tähtpäevast arvates. </w:t>
      </w:r>
    </w:p>
    <w:p w14:paraId="3B8F668C" w14:textId="77777777" w:rsidR="00DD6807" w:rsidRDefault="00DD6807" w:rsidP="00DD6807">
      <w:pPr>
        <w:spacing w:after="94"/>
        <w:ind w:right="0"/>
      </w:pPr>
    </w:p>
    <w:p w14:paraId="7C27538B" w14:textId="4A5E3952" w:rsidR="002F0108" w:rsidRDefault="00450C19">
      <w:pPr>
        <w:ind w:right="0"/>
      </w:pPr>
      <w:r>
        <w:t>Hankija kontaktisik, kes jagab selgitusi hankega seotud küsimustes, on</w:t>
      </w:r>
      <w:r w:rsidR="00006C03">
        <w:t xml:space="preserve"> Valter Õunapuu</w:t>
      </w:r>
      <w:r w:rsidR="004830F8">
        <w:t>.</w:t>
      </w:r>
      <w:r>
        <w:t xml:space="preserve"> Hankijal ei ole kohustust vastata hankega seotud küsimustele, mis on esitatud hiljem kui 2 tööpäeva enne pakkumuste esitamise tähtaja saabumist.  </w:t>
      </w:r>
    </w:p>
    <w:p w14:paraId="150FE562" w14:textId="77777777" w:rsidR="00B701D0" w:rsidRDefault="00B701D0" w:rsidP="00B701D0">
      <w:pPr>
        <w:ind w:right="0"/>
        <w:rPr>
          <w:b/>
        </w:rPr>
      </w:pPr>
    </w:p>
    <w:p w14:paraId="5AF946FA" w14:textId="0C4EC86D" w:rsidR="00B701D0" w:rsidRDefault="00B701D0" w:rsidP="00B701D0">
      <w:pPr>
        <w:ind w:right="0"/>
      </w:pPr>
      <w:r w:rsidRPr="00B701D0">
        <w:rPr>
          <w:b/>
        </w:rPr>
        <w:t xml:space="preserve">Pakkumuse palume esitada hiljemalt </w:t>
      </w:r>
      <w:r w:rsidR="007950F9" w:rsidRPr="00BC5934">
        <w:rPr>
          <w:b/>
        </w:rPr>
        <w:t>15</w:t>
      </w:r>
      <w:r w:rsidR="005C2B19" w:rsidRPr="00BC5934">
        <w:rPr>
          <w:b/>
        </w:rPr>
        <w:t>.10</w:t>
      </w:r>
      <w:r w:rsidRPr="00B701D0">
        <w:rPr>
          <w:b/>
        </w:rPr>
        <w:t xml:space="preserve">.2025 kl 16:30 e-posti aadressile </w:t>
      </w:r>
      <w:hyperlink r:id="rId5" w:history="1">
        <w:r w:rsidRPr="00B701D0">
          <w:rPr>
            <w:rStyle w:val="Hperlink"/>
            <w:b/>
          </w:rPr>
          <w:t>valter.ounapuu@ttja.ee</w:t>
        </w:r>
      </w:hyperlink>
      <w:r>
        <w:t>.</w:t>
      </w:r>
    </w:p>
    <w:p w14:paraId="30B095EB" w14:textId="77777777" w:rsidR="00B701D0" w:rsidRPr="00B701D0" w:rsidRDefault="00B701D0" w:rsidP="00C22DC3">
      <w:pPr>
        <w:ind w:left="0" w:right="0" w:firstLine="0"/>
        <w:rPr>
          <w:bCs/>
          <w:u w:val="single"/>
        </w:rPr>
      </w:pPr>
    </w:p>
    <w:p w14:paraId="01742EB1" w14:textId="65DE1550" w:rsidR="00B701D0" w:rsidRPr="00B701D0" w:rsidRDefault="00B701D0" w:rsidP="00B701D0">
      <w:pPr>
        <w:ind w:right="0"/>
        <w:rPr>
          <w:bCs/>
          <w:u w:val="single"/>
        </w:rPr>
      </w:pPr>
      <w:r w:rsidRPr="00B701D0">
        <w:rPr>
          <w:bCs/>
          <w:u w:val="single"/>
        </w:rPr>
        <w:t>TTJA jätab endale õiguse lükata tagasi kõik esitatud pakkumused sõltumata põhjus(t)</w:t>
      </w:r>
      <w:proofErr w:type="spellStart"/>
      <w:r w:rsidRPr="00B701D0">
        <w:rPr>
          <w:bCs/>
          <w:u w:val="single"/>
        </w:rPr>
        <w:t>est</w:t>
      </w:r>
      <w:proofErr w:type="spellEnd"/>
      <w:r w:rsidRPr="00B701D0">
        <w:rPr>
          <w:bCs/>
          <w:u w:val="single"/>
        </w:rPr>
        <w:t xml:space="preserve">.  </w:t>
      </w:r>
    </w:p>
    <w:p w14:paraId="612FF95E" w14:textId="77777777" w:rsidR="00B701D0" w:rsidRDefault="00B701D0" w:rsidP="00B701D0">
      <w:pPr>
        <w:ind w:right="0"/>
        <w:rPr>
          <w:b/>
        </w:rPr>
      </w:pPr>
    </w:p>
    <w:p w14:paraId="77837D32" w14:textId="33B06479" w:rsidR="00FF4564" w:rsidRPr="00C22DC3" w:rsidRDefault="00FF4564" w:rsidP="00B701D0">
      <w:pPr>
        <w:ind w:right="0"/>
        <w:rPr>
          <w:bCs/>
        </w:rPr>
      </w:pPr>
      <w:r w:rsidRPr="00C22DC3">
        <w:rPr>
          <w:bCs/>
        </w:rPr>
        <w:t>Vaidlustuse esitamisele riigihankes, mille eeldatav maksumus on väiksem kui RHS § 14 lõikes 1 sätestatud lihthanke piirmäär, kohaldatakse lihthankemenetluses vaidlustuse esitamisele sätestatud tähtaegu (RHS § 189 lg 4</w:t>
      </w:r>
      <w:r w:rsidRPr="00C22DC3">
        <w:rPr>
          <w:bCs/>
          <w:vertAlign w:val="superscript"/>
        </w:rPr>
        <w:t>1</w:t>
      </w:r>
      <w:r w:rsidRPr="00C22DC3">
        <w:rPr>
          <w:bCs/>
        </w:rPr>
        <w:t>).</w:t>
      </w:r>
    </w:p>
    <w:p w14:paraId="47C3EDA4" w14:textId="77777777" w:rsidR="00FF4564" w:rsidRPr="00C22DC3" w:rsidRDefault="00FF4564" w:rsidP="00B701D0">
      <w:pPr>
        <w:ind w:right="0"/>
        <w:rPr>
          <w:bCs/>
        </w:rPr>
      </w:pPr>
    </w:p>
    <w:p w14:paraId="1472DB90" w14:textId="77777777" w:rsidR="00FF4564" w:rsidRPr="00C22DC3" w:rsidRDefault="00FF4564" w:rsidP="00C22DC3">
      <w:pPr>
        <w:ind w:left="0" w:right="0" w:firstLine="0"/>
        <w:rPr>
          <w:bCs/>
        </w:rPr>
      </w:pPr>
    </w:p>
    <w:p w14:paraId="087E666A" w14:textId="77777777" w:rsidR="00B701D0" w:rsidRPr="00B701D0" w:rsidRDefault="00B701D0" w:rsidP="00B701D0">
      <w:pPr>
        <w:ind w:right="0"/>
        <w:rPr>
          <w:b/>
        </w:rPr>
      </w:pPr>
      <w:r w:rsidRPr="00B701D0">
        <w:rPr>
          <w:b/>
        </w:rPr>
        <w:t xml:space="preserve">Lisad </w:t>
      </w:r>
    </w:p>
    <w:p w14:paraId="4C5548A7" w14:textId="77777777" w:rsidR="00B701D0" w:rsidRPr="00B701D0" w:rsidRDefault="00B701D0" w:rsidP="00B701D0">
      <w:pPr>
        <w:ind w:left="0" w:right="0" w:firstLine="0"/>
        <w:rPr>
          <w:bCs/>
        </w:rPr>
      </w:pPr>
      <w:r w:rsidRPr="00B701D0">
        <w:rPr>
          <w:bCs/>
        </w:rPr>
        <w:t>Lisa 1 – lähteülesanne</w:t>
      </w:r>
    </w:p>
    <w:p w14:paraId="3A819926" w14:textId="7ED119BD" w:rsidR="00B701D0" w:rsidRPr="00B701D0" w:rsidRDefault="00B701D0" w:rsidP="00B701D0">
      <w:pPr>
        <w:ind w:right="0"/>
        <w:rPr>
          <w:bCs/>
        </w:rPr>
      </w:pPr>
      <w:r w:rsidRPr="00B701D0">
        <w:rPr>
          <w:bCs/>
        </w:rPr>
        <w:t>Lisa 2 – hankelepingu projekt</w:t>
      </w:r>
    </w:p>
    <w:p w14:paraId="0BBCF9FB" w14:textId="4290129A" w:rsidR="002F0108" w:rsidRPr="00B701D0" w:rsidRDefault="002F0108">
      <w:pPr>
        <w:spacing w:after="0" w:line="259" w:lineRule="auto"/>
        <w:ind w:left="0" w:right="0" w:firstLine="0"/>
        <w:jc w:val="left"/>
        <w:rPr>
          <w:bCs/>
        </w:rPr>
      </w:pPr>
    </w:p>
    <w:p w14:paraId="4B8EB4A9" w14:textId="77777777" w:rsidR="002B270C" w:rsidRDefault="002B270C" w:rsidP="00006C03">
      <w:pPr>
        <w:spacing w:after="0" w:line="259" w:lineRule="auto"/>
        <w:ind w:left="0" w:right="6839" w:firstLine="0"/>
        <w:jc w:val="left"/>
      </w:pPr>
    </w:p>
    <w:p w14:paraId="1F7FBAB8" w14:textId="77777777" w:rsidR="002B270C" w:rsidRDefault="002B270C" w:rsidP="00006C03">
      <w:pPr>
        <w:spacing w:after="0" w:line="259" w:lineRule="auto"/>
        <w:ind w:left="0" w:right="6839" w:firstLine="0"/>
        <w:jc w:val="left"/>
      </w:pPr>
    </w:p>
    <w:sectPr w:rsidR="002B270C">
      <w:pgSz w:w="11906" w:h="16838"/>
      <w:pgMar w:top="758" w:right="1414" w:bottom="1713" w:left="141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41666D"/>
    <w:multiLevelType w:val="hybridMultilevel"/>
    <w:tmpl w:val="5152145E"/>
    <w:lvl w:ilvl="0" w:tplc="9B6283F4">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6EA46D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82E491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19A078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1A2CBF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BBE661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664E6A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6F0148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77C071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20792089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108"/>
    <w:rsid w:val="00006145"/>
    <w:rsid w:val="00006C03"/>
    <w:rsid w:val="001A118A"/>
    <w:rsid w:val="001F0020"/>
    <w:rsid w:val="002B270C"/>
    <w:rsid w:val="002F0108"/>
    <w:rsid w:val="002F6A01"/>
    <w:rsid w:val="00376C65"/>
    <w:rsid w:val="00416A29"/>
    <w:rsid w:val="004242DF"/>
    <w:rsid w:val="00450C19"/>
    <w:rsid w:val="00480582"/>
    <w:rsid w:val="004830F8"/>
    <w:rsid w:val="005769A1"/>
    <w:rsid w:val="005C2B19"/>
    <w:rsid w:val="00604BEA"/>
    <w:rsid w:val="00616015"/>
    <w:rsid w:val="006213E4"/>
    <w:rsid w:val="0062444E"/>
    <w:rsid w:val="00730E7A"/>
    <w:rsid w:val="00733A93"/>
    <w:rsid w:val="00755EB1"/>
    <w:rsid w:val="007950F9"/>
    <w:rsid w:val="008305DD"/>
    <w:rsid w:val="009327C7"/>
    <w:rsid w:val="00934808"/>
    <w:rsid w:val="00986A04"/>
    <w:rsid w:val="00B12A81"/>
    <w:rsid w:val="00B233BF"/>
    <w:rsid w:val="00B701D0"/>
    <w:rsid w:val="00BC5934"/>
    <w:rsid w:val="00C22DC3"/>
    <w:rsid w:val="00C63F45"/>
    <w:rsid w:val="00D40D05"/>
    <w:rsid w:val="00DD6807"/>
    <w:rsid w:val="00E30DEA"/>
    <w:rsid w:val="00E66699"/>
    <w:rsid w:val="00EA1B6D"/>
    <w:rsid w:val="00F362CD"/>
    <w:rsid w:val="00FF456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920C4"/>
  <w15:docId w15:val="{2861E7D4-9E0A-41D0-8EFA-B5A30BA02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t-EE" w:eastAsia="et-E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spacing w:after="8" w:line="253" w:lineRule="auto"/>
      <w:ind w:left="10" w:right="4" w:hanging="10"/>
      <w:jc w:val="both"/>
    </w:pPr>
    <w:rPr>
      <w:rFonts w:ascii="Times New Roman" w:eastAsia="Times New Roman" w:hAnsi="Times New Roman" w:cs="Times New Roman"/>
      <w:color w:val="000000"/>
    </w:rPr>
  </w:style>
  <w:style w:type="paragraph" w:styleId="Pealkiri1">
    <w:name w:val="heading 1"/>
    <w:next w:val="Normaallaad"/>
    <w:link w:val="Pealkiri1Mrk"/>
    <w:uiPriority w:val="9"/>
    <w:qFormat/>
    <w:pPr>
      <w:keepNext/>
      <w:keepLines/>
      <w:spacing w:after="0" w:line="259" w:lineRule="auto"/>
      <w:ind w:left="10" w:hanging="10"/>
      <w:outlineLvl w:val="0"/>
    </w:pPr>
    <w:rPr>
      <w:rFonts w:ascii="Times New Roman" w:eastAsia="Times New Roman" w:hAnsi="Times New Roman" w:cs="Times New Roman"/>
      <w:b/>
      <w:color w:val="000000"/>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link w:val="Pealkiri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perlink">
    <w:name w:val="Hyperlink"/>
    <w:basedOn w:val="Liguvaikefont"/>
    <w:uiPriority w:val="99"/>
    <w:unhideWhenUsed/>
    <w:rsid w:val="002B270C"/>
    <w:rPr>
      <w:color w:val="467886" w:themeColor="hyperlink"/>
      <w:u w:val="single"/>
    </w:rPr>
  </w:style>
  <w:style w:type="character" w:styleId="Lahendamatamainimine">
    <w:name w:val="Unresolved Mention"/>
    <w:basedOn w:val="Liguvaikefont"/>
    <w:uiPriority w:val="99"/>
    <w:semiHidden/>
    <w:unhideWhenUsed/>
    <w:rsid w:val="002B270C"/>
    <w:rPr>
      <w:color w:val="605E5C"/>
      <w:shd w:val="clear" w:color="auto" w:fill="E1DFDD"/>
    </w:rPr>
  </w:style>
  <w:style w:type="paragraph" w:styleId="Redaktsioon">
    <w:name w:val="Revision"/>
    <w:hidden/>
    <w:uiPriority w:val="99"/>
    <w:semiHidden/>
    <w:rsid w:val="00B701D0"/>
    <w:pPr>
      <w:spacing w:after="0" w:line="240" w:lineRule="auto"/>
    </w:pPr>
    <w:rPr>
      <w:rFonts w:ascii="Times New Roman" w:eastAsia="Times New Roman" w:hAnsi="Times New Roman" w:cs="Times New Roman"/>
      <w:color w:val="000000"/>
    </w:rPr>
  </w:style>
  <w:style w:type="character" w:styleId="Kommentaariviide">
    <w:name w:val="annotation reference"/>
    <w:basedOn w:val="Liguvaikefont"/>
    <w:uiPriority w:val="99"/>
    <w:semiHidden/>
    <w:unhideWhenUsed/>
    <w:rsid w:val="00B701D0"/>
    <w:rPr>
      <w:sz w:val="16"/>
      <w:szCs w:val="16"/>
    </w:rPr>
  </w:style>
  <w:style w:type="paragraph" w:styleId="Kommentaaritekst">
    <w:name w:val="annotation text"/>
    <w:basedOn w:val="Normaallaad"/>
    <w:link w:val="KommentaaritekstMrk"/>
    <w:uiPriority w:val="99"/>
    <w:unhideWhenUsed/>
    <w:rsid w:val="00B701D0"/>
    <w:pPr>
      <w:spacing w:line="240" w:lineRule="auto"/>
    </w:pPr>
    <w:rPr>
      <w:sz w:val="20"/>
      <w:szCs w:val="20"/>
    </w:rPr>
  </w:style>
  <w:style w:type="character" w:customStyle="1" w:styleId="KommentaaritekstMrk">
    <w:name w:val="Kommentaari tekst Märk"/>
    <w:basedOn w:val="Liguvaikefont"/>
    <w:link w:val="Kommentaaritekst"/>
    <w:uiPriority w:val="99"/>
    <w:rsid w:val="00B701D0"/>
    <w:rPr>
      <w:rFonts w:ascii="Times New Roman" w:eastAsia="Times New Roman" w:hAnsi="Times New Roman" w:cs="Times New Roman"/>
      <w:color w:val="000000"/>
      <w:sz w:val="20"/>
      <w:szCs w:val="20"/>
    </w:rPr>
  </w:style>
  <w:style w:type="paragraph" w:styleId="Kommentaariteema">
    <w:name w:val="annotation subject"/>
    <w:basedOn w:val="Kommentaaritekst"/>
    <w:next w:val="Kommentaaritekst"/>
    <w:link w:val="KommentaariteemaMrk"/>
    <w:uiPriority w:val="99"/>
    <w:semiHidden/>
    <w:unhideWhenUsed/>
    <w:rsid w:val="00B701D0"/>
    <w:rPr>
      <w:b/>
      <w:bCs/>
    </w:rPr>
  </w:style>
  <w:style w:type="character" w:customStyle="1" w:styleId="KommentaariteemaMrk">
    <w:name w:val="Kommentaari teema Märk"/>
    <w:basedOn w:val="KommentaaritekstMrk"/>
    <w:link w:val="Kommentaariteema"/>
    <w:uiPriority w:val="99"/>
    <w:semiHidden/>
    <w:rsid w:val="00B701D0"/>
    <w:rPr>
      <w:rFonts w:ascii="Times New Roman" w:eastAsia="Times New Roman" w:hAnsi="Times New Roman" w:cs="Times New Roman"/>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valter.ounapuu@ttja.ee" TargetMode="Externa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647</Words>
  <Characters>3759</Characters>
  <Application>Microsoft Office Word</Application>
  <DocSecurity>4</DocSecurity>
  <Lines>31</Lines>
  <Paragraphs>8</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KeMIT</Company>
  <LinksUpToDate>false</LinksUpToDate>
  <CharactersWithSpaces>4398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Liivak</dc:creator>
  <cp:keywords/>
  <cp:lastModifiedBy>Valter Õunapuu</cp:lastModifiedBy>
  <cp:revision>2</cp:revision>
  <dcterms:created xsi:type="dcterms:W3CDTF">2025-10-01T13:23:00Z</dcterms:created>
  <dcterms:modified xsi:type="dcterms:W3CDTF">2025-10-01T13:23:00Z</dcterms:modified>
</cp:coreProperties>
</file>